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06575">
      <w:pPr>
        <w:snapToGrid w:val="0"/>
        <w:spacing w:before="100" w:beforeAutospacing="1" w:after="100" w:afterAutospacing="1" w:line="560" w:lineRule="exact"/>
        <w:contextualSpacing/>
        <w:jc w:val="center"/>
        <w:rPr>
          <w:rFonts w:hint="default" w:ascii="方正小标宋简体" w:eastAsia="方正小标宋简体"/>
          <w:sz w:val="44"/>
          <w:szCs w:val="44"/>
          <w:lang w:val="en-US" w:eastAsia="zh-CN"/>
        </w:rPr>
      </w:pPr>
      <w:r>
        <w:rPr>
          <w:rFonts w:hint="eastAsia" w:ascii="方正小标宋简体" w:eastAsia="方正小标宋简体"/>
          <w:sz w:val="44"/>
          <w:szCs w:val="44"/>
          <w:lang w:val="en-US" w:eastAsia="zh-CN"/>
        </w:rPr>
        <w:t>北京市外事学校</w:t>
      </w:r>
    </w:p>
    <w:p w14:paraId="5982AFC1">
      <w:pPr>
        <w:snapToGrid w:val="0"/>
        <w:spacing w:before="100" w:beforeAutospacing="1" w:after="100" w:afterAutospacing="1" w:line="560" w:lineRule="exact"/>
        <w:contextualSpacing/>
        <w:jc w:val="center"/>
        <w:rPr>
          <w:rFonts w:ascii="方正小标宋简体" w:eastAsia="方正小标宋简体"/>
          <w:sz w:val="44"/>
          <w:szCs w:val="44"/>
        </w:rPr>
      </w:pPr>
      <w:r>
        <w:rPr>
          <w:rFonts w:hint="eastAsia" w:ascii="方正小标宋简体" w:eastAsia="方正小标宋简体"/>
          <w:sz w:val="44"/>
          <w:szCs w:val="44"/>
        </w:rPr>
        <w:t>2025年部门预算情况说明</w:t>
      </w:r>
    </w:p>
    <w:p w14:paraId="059D7055">
      <w:pPr>
        <w:snapToGrid w:val="0"/>
        <w:spacing w:before="100" w:beforeAutospacing="1" w:after="100" w:afterAutospacing="1" w:line="560" w:lineRule="exact"/>
        <w:contextualSpacing/>
        <w:rPr>
          <w:rFonts w:ascii="仿宋_GB2312" w:eastAsia="仿宋_GB2312"/>
          <w:b/>
          <w:sz w:val="44"/>
          <w:szCs w:val="44"/>
        </w:rPr>
      </w:pPr>
    </w:p>
    <w:p w14:paraId="03EB31F7">
      <w:pPr>
        <w:adjustRightInd w:val="0"/>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一、部门主要职责及机构设置情况</w:t>
      </w:r>
    </w:p>
    <w:p w14:paraId="70E89656">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（一）部门机构设置、职责</w:t>
      </w:r>
    </w:p>
    <w:p w14:paraId="0899EF09">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rPr>
        <w:t>北京市外事学校，原名北京市外事服务职业高中，创建于1980年。学校的主要职能：培养高中学历技术应用人才，外事服务</w:t>
      </w:r>
      <w:r>
        <w:rPr>
          <w:rFonts w:ascii="仿宋_GB2312" w:hAnsi="仿宋" w:eastAsia="仿宋_GB2312"/>
          <w:sz w:val="32"/>
          <w:szCs w:val="32"/>
        </w:rPr>
        <w:t>/</w:t>
      </w:r>
      <w:r>
        <w:rPr>
          <w:rFonts w:hint="eastAsia" w:ascii="仿宋_GB2312" w:hAnsi="仿宋" w:eastAsia="仿宋_GB2312"/>
          <w:sz w:val="32"/>
          <w:szCs w:val="32"/>
        </w:rPr>
        <w:t>烹饪专业</w:t>
      </w:r>
      <w:r>
        <w:rPr>
          <w:rFonts w:ascii="仿宋_GB2312" w:hAnsi="仿宋" w:eastAsia="仿宋_GB2312"/>
          <w:sz w:val="32"/>
          <w:szCs w:val="32"/>
        </w:rPr>
        <w:t>/</w:t>
      </w:r>
      <w:r>
        <w:rPr>
          <w:rFonts w:hint="eastAsia" w:ascii="仿宋_GB2312" w:hAnsi="仿宋" w:eastAsia="仿宋_GB2312"/>
          <w:sz w:val="32"/>
          <w:szCs w:val="32"/>
        </w:rPr>
        <w:t>经济贸易。学校是教育部认定的首批国家级重点中等职业高中，2009年学校被劳动和社会保障部、教育部授予全国教育系统先进集体光荣称号。学校原分三址办学，分别坐落在前门西大街137号（南址）、太仆寺街69号（西单商场后、中心址）、西直门永祥胡同3号（北址）。因上级对学校进行布局调整，中心址、南址分别由宏庙小学、受水河小学使用，由于没有办理房屋使用变更手续，有关两址的水、电、供暖费等公用支出仍由我校负担。目前学校有2个专业，即高星级饭店运营与管理、烹饪工艺与营养。</w:t>
      </w:r>
      <w:r>
        <w:rPr>
          <w:rFonts w:hint="eastAsia" w:ascii="仿宋_GB2312" w:hAnsi="仿宋" w:eastAsia="仿宋_GB2312"/>
          <w:sz w:val="32"/>
          <w:szCs w:val="32"/>
          <w:lang w:val="en-US" w:eastAsia="zh-CN"/>
        </w:rPr>
        <w:t>2024年新增普通高中教育</w:t>
      </w:r>
      <w:r>
        <w:rPr>
          <w:rFonts w:hint="eastAsia" w:ascii="仿宋_GB2312" w:hAnsi="仿宋" w:eastAsia="仿宋_GB2312"/>
          <w:sz w:val="32"/>
          <w:szCs w:val="32"/>
        </w:rPr>
        <w:t>。在校生共</w:t>
      </w:r>
      <w:r>
        <w:rPr>
          <w:rFonts w:hint="eastAsia" w:ascii="仿宋_GB2312" w:hAnsi="仿宋" w:eastAsia="仿宋_GB2312"/>
          <w:sz w:val="32"/>
          <w:szCs w:val="32"/>
          <w:lang w:val="en-US" w:eastAsia="zh-CN"/>
        </w:rPr>
        <w:t>451</w:t>
      </w:r>
      <w:r>
        <w:rPr>
          <w:rFonts w:hint="eastAsia" w:ascii="仿宋_GB2312" w:hAnsi="仿宋" w:eastAsia="仿宋_GB2312"/>
          <w:sz w:val="32"/>
          <w:szCs w:val="32"/>
        </w:rPr>
        <w:t>人。</w:t>
      </w:r>
    </w:p>
    <w:p w14:paraId="25DC57A1">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（二）人员构成情况</w:t>
      </w:r>
    </w:p>
    <w:p w14:paraId="43B33D41">
      <w:pPr>
        <w:numPr>
          <w:ilvl w:val="0"/>
          <w:numId w:val="0"/>
        </w:numPr>
        <w:snapToGrid w:val="0"/>
        <w:spacing w:line="52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rPr>
        <w:t>学校上年末有在职职工</w:t>
      </w:r>
      <w:r>
        <w:rPr>
          <w:rFonts w:hint="eastAsia" w:ascii="仿宋_GB2312" w:hAnsi="仿宋" w:eastAsia="仿宋_GB2312"/>
          <w:sz w:val="32"/>
          <w:szCs w:val="32"/>
          <w:highlight w:val="none"/>
          <w:lang w:val="en-US" w:eastAsia="zh-CN"/>
        </w:rPr>
        <w:t>115</w:t>
      </w:r>
      <w:r>
        <w:rPr>
          <w:rFonts w:hint="eastAsia" w:ascii="仿宋_GB2312" w:hAnsi="仿宋" w:eastAsia="仿宋_GB2312"/>
          <w:sz w:val="32"/>
          <w:szCs w:val="32"/>
          <w:highlight w:val="none"/>
        </w:rPr>
        <w:t>人，退休</w:t>
      </w:r>
      <w:r>
        <w:rPr>
          <w:rFonts w:hint="eastAsia" w:ascii="仿宋_GB2312" w:hAnsi="仿宋" w:eastAsia="仿宋_GB2312"/>
          <w:sz w:val="32"/>
          <w:szCs w:val="32"/>
          <w:highlight w:val="none"/>
          <w:lang w:val="en-US" w:eastAsia="zh-CN"/>
        </w:rPr>
        <w:t>14</w:t>
      </w:r>
      <w:r>
        <w:rPr>
          <w:rFonts w:hint="eastAsia" w:ascii="仿宋_GB2312" w:hAnsi="仿宋" w:eastAsia="仿宋_GB2312"/>
          <w:sz w:val="32"/>
          <w:szCs w:val="32"/>
          <w:highlight w:val="none"/>
        </w:rPr>
        <w:t>人，增加</w:t>
      </w:r>
      <w:r>
        <w:rPr>
          <w:rFonts w:hint="eastAsia" w:ascii="仿宋_GB2312" w:hAnsi="仿宋" w:eastAsia="仿宋_GB2312"/>
          <w:sz w:val="32"/>
          <w:szCs w:val="32"/>
          <w:highlight w:val="none"/>
          <w:lang w:val="en-US" w:eastAsia="zh-CN"/>
        </w:rPr>
        <w:t>4</w:t>
      </w:r>
      <w:r>
        <w:rPr>
          <w:rFonts w:hint="eastAsia" w:ascii="仿宋_GB2312" w:hAnsi="仿宋" w:eastAsia="仿宋_GB2312"/>
          <w:sz w:val="32"/>
          <w:szCs w:val="32"/>
          <w:highlight w:val="none"/>
        </w:rPr>
        <w:t>人，今年底在职职工1</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5人；上年末退休教职工47</w:t>
      </w:r>
      <w:r>
        <w:rPr>
          <w:rFonts w:hint="eastAsia" w:ascii="仿宋_GB2312" w:hAnsi="仿宋" w:eastAsia="仿宋_GB2312"/>
          <w:sz w:val="32"/>
          <w:szCs w:val="32"/>
          <w:highlight w:val="none"/>
          <w:lang w:val="en-US" w:eastAsia="zh-CN"/>
        </w:rPr>
        <w:t>8</w:t>
      </w:r>
      <w:r>
        <w:rPr>
          <w:rFonts w:hint="eastAsia" w:ascii="仿宋_GB2312" w:hAnsi="仿宋" w:eastAsia="仿宋_GB2312"/>
          <w:sz w:val="32"/>
          <w:szCs w:val="32"/>
          <w:highlight w:val="none"/>
        </w:rPr>
        <w:t>人，当年新退休1</w:t>
      </w:r>
      <w:r>
        <w:rPr>
          <w:rFonts w:hint="eastAsia" w:ascii="仿宋_GB2312" w:hAnsi="仿宋" w:eastAsia="仿宋_GB2312"/>
          <w:sz w:val="32"/>
          <w:szCs w:val="32"/>
          <w:highlight w:val="none"/>
          <w:lang w:val="en-US" w:eastAsia="zh-CN"/>
        </w:rPr>
        <w:t>4</w:t>
      </w:r>
      <w:r>
        <w:rPr>
          <w:rFonts w:hint="eastAsia" w:ascii="仿宋_GB2312" w:hAnsi="仿宋" w:eastAsia="仿宋_GB2312"/>
          <w:sz w:val="32"/>
          <w:szCs w:val="32"/>
          <w:highlight w:val="none"/>
        </w:rPr>
        <w:t>人，去世</w:t>
      </w:r>
      <w:r>
        <w:rPr>
          <w:rFonts w:hint="eastAsia" w:ascii="仿宋_GB2312" w:hAnsi="仿宋" w:eastAsia="仿宋_GB2312"/>
          <w:sz w:val="32"/>
          <w:szCs w:val="32"/>
          <w:highlight w:val="none"/>
          <w:lang w:val="en-US" w:eastAsia="zh-CN"/>
        </w:rPr>
        <w:t>18</w:t>
      </w:r>
      <w:r>
        <w:rPr>
          <w:rFonts w:hint="eastAsia" w:ascii="仿宋_GB2312" w:hAnsi="仿宋" w:eastAsia="仿宋_GB2312"/>
          <w:sz w:val="32"/>
          <w:szCs w:val="32"/>
          <w:highlight w:val="none"/>
        </w:rPr>
        <w:t>人，年末退休人员47</w:t>
      </w:r>
      <w:r>
        <w:rPr>
          <w:rFonts w:hint="eastAsia" w:ascii="仿宋_GB2312" w:hAnsi="仿宋" w:eastAsia="仿宋_GB2312"/>
          <w:sz w:val="32"/>
          <w:szCs w:val="32"/>
          <w:highlight w:val="none"/>
          <w:lang w:val="en-US" w:eastAsia="zh-CN"/>
        </w:rPr>
        <w:t>4</w:t>
      </w:r>
      <w:r>
        <w:rPr>
          <w:rFonts w:hint="eastAsia" w:ascii="仿宋_GB2312" w:hAnsi="仿宋" w:eastAsia="仿宋_GB2312"/>
          <w:sz w:val="32"/>
          <w:szCs w:val="32"/>
          <w:highlight w:val="none"/>
        </w:rPr>
        <w:t>人；离休人员上年末</w:t>
      </w:r>
      <w:r>
        <w:rPr>
          <w:rFonts w:hint="eastAsia" w:ascii="仿宋_GB2312" w:hAnsi="仿宋" w:eastAsia="仿宋_GB2312"/>
          <w:sz w:val="32"/>
          <w:szCs w:val="32"/>
          <w:highlight w:val="none"/>
          <w:lang w:val="en-US" w:eastAsia="zh-CN"/>
        </w:rPr>
        <w:t>11</w:t>
      </w:r>
      <w:r>
        <w:rPr>
          <w:rFonts w:hint="eastAsia" w:ascii="仿宋_GB2312" w:hAnsi="仿宋" w:eastAsia="仿宋_GB2312"/>
          <w:sz w:val="32"/>
          <w:szCs w:val="32"/>
          <w:highlight w:val="none"/>
        </w:rPr>
        <w:t>人，年末为</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人。</w:t>
      </w:r>
      <w:r>
        <w:rPr>
          <w:rFonts w:hint="eastAsia" w:ascii="仿宋_GB2312" w:hAnsi="仿宋" w:eastAsia="仿宋_GB2312"/>
          <w:sz w:val="32"/>
          <w:szCs w:val="32"/>
          <w:highlight w:val="none"/>
          <w:lang w:val="en-US" w:eastAsia="zh-CN"/>
        </w:rPr>
        <w:t>学生</w:t>
      </w:r>
    </w:p>
    <w:p w14:paraId="31EDC5CF">
      <w:pPr>
        <w:adjustRightInd w:val="0"/>
        <w:snapToGrid w:val="0"/>
        <w:spacing w:before="100" w:beforeAutospacing="1" w:after="100" w:afterAutospacing="1" w:line="560" w:lineRule="exact"/>
        <w:ind w:firstLine="640" w:firstLineChars="200"/>
        <w:contextualSpacing/>
        <w:rPr>
          <w:rFonts w:hint="eastAsia" w:ascii="仿宋" w:hAnsi="仿宋" w:eastAsia="仿宋"/>
          <w:color w:val="000000"/>
          <w:sz w:val="32"/>
          <w:szCs w:val="32"/>
        </w:rPr>
      </w:pPr>
      <w:r>
        <w:rPr>
          <w:rFonts w:hint="eastAsia" w:ascii="仿宋" w:hAnsi="仿宋" w:eastAsia="仿宋"/>
          <w:color w:val="000000"/>
          <w:sz w:val="32"/>
          <w:szCs w:val="32"/>
        </w:rPr>
        <w:t>本单位事业编制</w:t>
      </w:r>
      <w:r>
        <w:rPr>
          <w:rFonts w:ascii="仿宋" w:hAnsi="仿宋" w:eastAsia="仿宋"/>
          <w:color w:val="000000"/>
          <w:sz w:val="32"/>
          <w:szCs w:val="32"/>
        </w:rPr>
        <w:t>12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人，实际在册教职工</w:t>
      </w:r>
      <w:r>
        <w:rPr>
          <w:rFonts w:ascii="仿宋" w:hAnsi="仿宋" w:eastAsia="仿宋"/>
          <w:color w:val="000000"/>
          <w:sz w:val="32"/>
          <w:szCs w:val="32"/>
        </w:rPr>
        <w:t>1</w:t>
      </w:r>
      <w:r>
        <w:rPr>
          <w:rFonts w:hint="eastAsia" w:ascii="仿宋" w:hAnsi="仿宋" w:eastAsia="仿宋"/>
          <w:color w:val="000000"/>
          <w:sz w:val="32"/>
          <w:szCs w:val="32"/>
          <w:lang w:val="en-US" w:eastAsia="zh-CN"/>
        </w:rPr>
        <w:t>05</w:t>
      </w:r>
      <w:r>
        <w:rPr>
          <w:rFonts w:hint="eastAsia" w:ascii="仿宋" w:hAnsi="仿宋" w:eastAsia="仿宋"/>
          <w:color w:val="000000"/>
          <w:sz w:val="32"/>
          <w:szCs w:val="32"/>
        </w:rPr>
        <w:t>人，离休</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人，退休</w:t>
      </w:r>
      <w:r>
        <w:rPr>
          <w:rFonts w:ascii="仿宋" w:hAnsi="仿宋" w:eastAsia="仿宋"/>
          <w:color w:val="000000"/>
          <w:sz w:val="32"/>
          <w:szCs w:val="32"/>
        </w:rPr>
        <w:t>47</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人。学生</w:t>
      </w:r>
      <w:r>
        <w:rPr>
          <w:rFonts w:hint="eastAsia" w:ascii="仿宋" w:hAnsi="仿宋" w:eastAsia="仿宋"/>
          <w:color w:val="000000"/>
          <w:sz w:val="32"/>
          <w:szCs w:val="32"/>
          <w:lang w:val="en-US" w:eastAsia="zh-CN"/>
        </w:rPr>
        <w:t>451</w:t>
      </w:r>
      <w:r>
        <w:rPr>
          <w:rFonts w:hint="eastAsia" w:ascii="仿宋" w:hAnsi="仿宋" w:eastAsia="仿宋"/>
          <w:color w:val="000000"/>
          <w:sz w:val="32"/>
          <w:szCs w:val="32"/>
        </w:rPr>
        <w:t>人，其中：职高</w:t>
      </w:r>
      <w:r>
        <w:rPr>
          <w:rFonts w:ascii="仿宋" w:hAnsi="仿宋" w:eastAsia="仿宋"/>
          <w:color w:val="000000"/>
          <w:sz w:val="32"/>
          <w:szCs w:val="32"/>
        </w:rPr>
        <w:t>29</w:t>
      </w: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人。</w:t>
      </w:r>
    </w:p>
    <w:p w14:paraId="43D409B4">
      <w:pPr>
        <w:adjustRightInd w:val="0"/>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二、2025年部门预算收支及增减变化情况说明</w:t>
      </w:r>
    </w:p>
    <w:p w14:paraId="4A9F7719">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（一）收入预算说明</w:t>
      </w:r>
    </w:p>
    <w:p w14:paraId="38852844">
      <w:pPr>
        <w:tabs>
          <w:tab w:val="left" w:pos="1680"/>
        </w:tabs>
        <w:snapToGrid w:val="0"/>
        <w:spacing w:before="100" w:beforeAutospacing="1" w:after="100" w:afterAutospacing="1" w:line="560" w:lineRule="exact"/>
        <w:ind w:firstLine="640" w:firstLineChars="200"/>
        <w:contextualSpacing/>
        <w:rPr>
          <w:rFonts w:hint="eastAsia" w:ascii="仿宋" w:hAnsi="仿宋" w:eastAsia="仿宋"/>
          <w:color w:val="000000"/>
          <w:sz w:val="32"/>
          <w:szCs w:val="32"/>
          <w:lang w:eastAsia="zh-CN"/>
        </w:rPr>
      </w:pPr>
      <w:r>
        <w:rPr>
          <w:rFonts w:hint="eastAsia" w:ascii="仿宋" w:hAnsi="仿宋" w:eastAsia="仿宋"/>
          <w:color w:val="000000"/>
          <w:sz w:val="32"/>
          <w:szCs w:val="32"/>
        </w:rPr>
        <w:t>2025年收入预算5,671.1</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万元，比2024年</w:t>
      </w:r>
      <w:r>
        <w:rPr>
          <w:rFonts w:hint="eastAsia" w:ascii="仿宋" w:hAnsi="仿宋" w:eastAsia="仿宋"/>
          <w:sz w:val="32"/>
          <w:szCs w:val="32"/>
        </w:rPr>
        <w:t>收入</w:t>
      </w:r>
      <w:r>
        <w:rPr>
          <w:rFonts w:ascii="仿宋" w:hAnsi="仿宋" w:eastAsia="仿宋"/>
          <w:color w:val="000000"/>
          <w:sz w:val="32"/>
          <w:szCs w:val="32"/>
        </w:rPr>
        <w:t>预算6141.61</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减少470.43</w:t>
      </w:r>
      <w:r>
        <w:rPr>
          <w:rFonts w:hint="eastAsia" w:ascii="仿宋" w:hAnsi="仿宋" w:eastAsia="仿宋"/>
          <w:color w:val="000000"/>
          <w:sz w:val="32"/>
          <w:szCs w:val="32"/>
        </w:rPr>
        <w:t>万元，降低</w:t>
      </w:r>
      <w:r>
        <w:rPr>
          <w:rFonts w:hint="eastAsia" w:ascii="仿宋" w:hAnsi="仿宋" w:eastAsia="仿宋"/>
          <w:color w:val="000000"/>
          <w:sz w:val="32"/>
          <w:szCs w:val="32"/>
          <w:lang w:val="en-US" w:eastAsia="zh-CN"/>
        </w:rPr>
        <w:t>7.66</w:t>
      </w:r>
      <w:r>
        <w:rPr>
          <w:rFonts w:hint="eastAsia" w:ascii="仿宋" w:hAnsi="仿宋" w:eastAsia="仿宋"/>
          <w:color w:val="000000"/>
          <w:sz w:val="32"/>
          <w:szCs w:val="32"/>
        </w:rPr>
        <w:t>%，主要原因是在职</w:t>
      </w:r>
      <w:r>
        <w:rPr>
          <w:rFonts w:ascii="仿宋" w:hAnsi="仿宋" w:eastAsia="仿宋"/>
          <w:color w:val="000000"/>
          <w:sz w:val="32"/>
          <w:szCs w:val="32"/>
        </w:rPr>
        <w:t>人员</w:t>
      </w:r>
      <w:r>
        <w:rPr>
          <w:rFonts w:hint="eastAsia" w:ascii="仿宋" w:hAnsi="仿宋" w:eastAsia="仿宋"/>
          <w:color w:val="000000"/>
          <w:sz w:val="32"/>
          <w:szCs w:val="32"/>
        </w:rPr>
        <w:t>和</w:t>
      </w:r>
      <w:r>
        <w:rPr>
          <w:rFonts w:ascii="仿宋" w:hAnsi="仿宋" w:eastAsia="仿宋"/>
          <w:color w:val="000000"/>
          <w:sz w:val="32"/>
          <w:szCs w:val="32"/>
        </w:rPr>
        <w:t>离休人员减少</w:t>
      </w:r>
      <w:r>
        <w:rPr>
          <w:rFonts w:hint="eastAsia" w:ascii="仿宋" w:hAnsi="仿宋" w:eastAsia="仿宋"/>
          <w:color w:val="000000"/>
          <w:sz w:val="32"/>
          <w:szCs w:val="32"/>
        </w:rPr>
        <w:t>，</w:t>
      </w:r>
      <w:r>
        <w:rPr>
          <w:rFonts w:ascii="仿宋" w:hAnsi="仿宋" w:eastAsia="仿宋"/>
          <w:color w:val="000000"/>
          <w:sz w:val="32"/>
          <w:szCs w:val="32"/>
        </w:rPr>
        <w:t>人员经费减少</w:t>
      </w:r>
      <w:r>
        <w:rPr>
          <w:rFonts w:hint="eastAsia" w:ascii="仿宋" w:hAnsi="仿宋" w:eastAsia="仿宋"/>
          <w:color w:val="000000"/>
          <w:sz w:val="32"/>
          <w:szCs w:val="32"/>
        </w:rPr>
        <w:t>。其中：</w:t>
      </w:r>
      <w:r>
        <w:rPr>
          <w:rFonts w:ascii="仿宋" w:hAnsi="仿宋" w:eastAsia="仿宋"/>
          <w:color w:val="000000"/>
          <w:sz w:val="32"/>
          <w:szCs w:val="32"/>
        </w:rPr>
        <w:t>一般公共预算</w:t>
      </w:r>
      <w:r>
        <w:rPr>
          <w:rFonts w:hint="eastAsia" w:ascii="仿宋" w:hAnsi="仿宋" w:eastAsia="仿宋"/>
          <w:color w:val="000000"/>
          <w:sz w:val="32"/>
          <w:szCs w:val="32"/>
        </w:rPr>
        <w:t>拨款收入5,671.1</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万元，比2024年</w:t>
      </w:r>
      <w:r>
        <w:rPr>
          <w:rFonts w:ascii="仿宋" w:hAnsi="仿宋" w:eastAsia="仿宋"/>
          <w:color w:val="000000"/>
          <w:sz w:val="32"/>
          <w:szCs w:val="32"/>
        </w:rPr>
        <w:t>一般公共预算</w:t>
      </w:r>
      <w:r>
        <w:rPr>
          <w:rFonts w:hint="eastAsia" w:ascii="仿宋" w:hAnsi="仿宋" w:eastAsia="仿宋"/>
          <w:color w:val="000000"/>
          <w:sz w:val="32"/>
          <w:szCs w:val="32"/>
        </w:rPr>
        <w:t>拨款</w:t>
      </w:r>
      <w:r>
        <w:rPr>
          <w:rFonts w:hint="eastAsia" w:ascii="仿宋" w:hAnsi="仿宋" w:eastAsia="仿宋"/>
          <w:sz w:val="32"/>
          <w:szCs w:val="32"/>
        </w:rPr>
        <w:t>收</w:t>
      </w:r>
      <w:r>
        <w:rPr>
          <w:rFonts w:hint="eastAsia" w:ascii="仿宋" w:hAnsi="仿宋" w:eastAsia="仿宋"/>
          <w:sz w:val="32"/>
          <w:szCs w:val="32"/>
          <w:lang w:val="en-US" w:eastAsia="zh-CN"/>
        </w:rPr>
        <w:t>入预算</w:t>
      </w:r>
      <w:r>
        <w:rPr>
          <w:rFonts w:ascii="仿宋" w:hAnsi="仿宋" w:eastAsia="仿宋"/>
          <w:color w:val="000000"/>
          <w:sz w:val="32"/>
          <w:szCs w:val="32"/>
        </w:rPr>
        <w:t>6141.61</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减少470.43</w:t>
      </w:r>
      <w:r>
        <w:rPr>
          <w:rFonts w:hint="eastAsia" w:ascii="仿宋" w:hAnsi="仿宋" w:eastAsia="仿宋"/>
          <w:color w:val="000000"/>
          <w:sz w:val="32"/>
          <w:szCs w:val="32"/>
        </w:rPr>
        <w:t>万元，降低</w:t>
      </w:r>
      <w:r>
        <w:rPr>
          <w:rFonts w:hint="eastAsia" w:ascii="仿宋" w:hAnsi="仿宋" w:eastAsia="仿宋"/>
          <w:color w:val="000000"/>
          <w:sz w:val="32"/>
          <w:szCs w:val="32"/>
          <w:lang w:val="en-US" w:eastAsia="zh-CN"/>
        </w:rPr>
        <w:t>7.66</w:t>
      </w:r>
      <w:r>
        <w:rPr>
          <w:rFonts w:hint="eastAsia" w:ascii="仿宋" w:hAnsi="仿宋" w:eastAsia="仿宋"/>
          <w:color w:val="000000"/>
          <w:sz w:val="32"/>
          <w:szCs w:val="32"/>
        </w:rPr>
        <w:t>%</w:t>
      </w:r>
      <w:r>
        <w:rPr>
          <w:rFonts w:hint="eastAsia" w:ascii="仿宋" w:hAnsi="仿宋" w:eastAsia="仿宋"/>
          <w:color w:val="000000"/>
          <w:sz w:val="32"/>
          <w:szCs w:val="32"/>
          <w:lang w:eastAsia="zh-CN"/>
        </w:rPr>
        <w:t>。</w:t>
      </w:r>
    </w:p>
    <w:p w14:paraId="781AF321">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（二）支出预算说明</w:t>
      </w:r>
    </w:p>
    <w:p w14:paraId="384A21BB">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2025年支出预算5,671.1</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万元，比2024年年初预算</w:t>
      </w:r>
      <w:r>
        <w:rPr>
          <w:rFonts w:ascii="仿宋" w:hAnsi="仿宋" w:eastAsia="仿宋"/>
          <w:color w:val="000000"/>
          <w:sz w:val="32"/>
          <w:szCs w:val="32"/>
        </w:rPr>
        <w:t>6141.61</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减少470.43</w:t>
      </w:r>
      <w:r>
        <w:rPr>
          <w:rFonts w:hint="eastAsia" w:ascii="仿宋" w:hAnsi="仿宋" w:eastAsia="仿宋"/>
          <w:color w:val="000000"/>
          <w:sz w:val="32"/>
          <w:szCs w:val="32"/>
        </w:rPr>
        <w:t>万元，降低</w:t>
      </w:r>
      <w:r>
        <w:rPr>
          <w:rFonts w:hint="eastAsia" w:ascii="仿宋" w:hAnsi="仿宋" w:eastAsia="仿宋"/>
          <w:color w:val="000000"/>
          <w:sz w:val="32"/>
          <w:szCs w:val="32"/>
          <w:lang w:val="en-US" w:eastAsia="zh-CN"/>
        </w:rPr>
        <w:t>7.66</w:t>
      </w:r>
      <w:r>
        <w:rPr>
          <w:rFonts w:hint="eastAsia" w:ascii="仿宋" w:hAnsi="仿宋" w:eastAsia="仿宋"/>
          <w:color w:val="000000"/>
          <w:sz w:val="32"/>
          <w:szCs w:val="32"/>
        </w:rPr>
        <w:t>%。其中：一般公共预算支出预算5,671.1</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万元，一般公共预算支出预算中：</w:t>
      </w:r>
    </w:p>
    <w:p w14:paraId="0CFC022D">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1、基本支出预算5,007.2</w:t>
      </w: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万元，比2024年</w:t>
      </w:r>
      <w:r>
        <w:rPr>
          <w:rFonts w:ascii="仿宋" w:hAnsi="仿宋" w:eastAsia="仿宋"/>
          <w:color w:val="000000"/>
          <w:sz w:val="32"/>
          <w:szCs w:val="32"/>
        </w:rPr>
        <w:t>5470.54</w:t>
      </w:r>
      <w:r>
        <w:rPr>
          <w:rFonts w:hint="eastAsia" w:ascii="仿宋" w:hAnsi="仿宋" w:eastAsia="仿宋"/>
          <w:color w:val="000000"/>
          <w:sz w:val="32"/>
          <w:szCs w:val="32"/>
        </w:rPr>
        <w:t>万元减少</w:t>
      </w:r>
      <w:r>
        <w:rPr>
          <w:rFonts w:hint="eastAsia" w:ascii="仿宋" w:hAnsi="仿宋" w:eastAsia="仿宋"/>
          <w:color w:val="000000"/>
          <w:sz w:val="32"/>
          <w:szCs w:val="32"/>
          <w:lang w:val="en-US" w:eastAsia="zh-CN"/>
        </w:rPr>
        <w:t>463.28</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减少8.47</w:t>
      </w:r>
      <w:r>
        <w:rPr>
          <w:rFonts w:hint="eastAsia" w:ascii="仿宋" w:hAnsi="仿宋" w:eastAsia="仿宋"/>
          <w:color w:val="000000"/>
          <w:sz w:val="32"/>
          <w:szCs w:val="32"/>
        </w:rPr>
        <w:t>%，主要原因是</w:t>
      </w:r>
      <w:r>
        <w:rPr>
          <w:rFonts w:hint="eastAsia" w:ascii="仿宋" w:hAnsi="仿宋" w:eastAsia="仿宋"/>
          <w:color w:val="000000"/>
          <w:sz w:val="32"/>
          <w:szCs w:val="32"/>
          <w:lang w:val="en-US" w:eastAsia="zh-CN"/>
        </w:rPr>
        <w:t>人员经费减少</w:t>
      </w:r>
      <w:r>
        <w:rPr>
          <w:rFonts w:hint="eastAsia" w:ascii="仿宋" w:hAnsi="仿宋" w:eastAsia="仿宋"/>
          <w:color w:val="000000"/>
          <w:sz w:val="32"/>
          <w:szCs w:val="32"/>
        </w:rPr>
        <w:t>。</w:t>
      </w:r>
    </w:p>
    <w:p w14:paraId="5ED00C13">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2、项目支出预算663.9</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万元，比2024年</w:t>
      </w:r>
      <w:r>
        <w:rPr>
          <w:rFonts w:ascii="仿宋" w:hAnsi="仿宋" w:eastAsia="仿宋"/>
          <w:color w:val="000000"/>
          <w:sz w:val="32"/>
          <w:szCs w:val="32"/>
        </w:rPr>
        <w:t>671.06</w:t>
      </w:r>
      <w:r>
        <w:rPr>
          <w:rFonts w:hint="eastAsia" w:ascii="仿宋" w:hAnsi="仿宋" w:eastAsia="仿宋"/>
          <w:color w:val="000000"/>
          <w:sz w:val="32"/>
          <w:szCs w:val="32"/>
        </w:rPr>
        <w:t>万元减少</w:t>
      </w:r>
      <w:r>
        <w:rPr>
          <w:rFonts w:hint="eastAsia" w:ascii="仿宋" w:hAnsi="仿宋" w:eastAsia="仿宋"/>
          <w:color w:val="000000"/>
          <w:sz w:val="32"/>
          <w:szCs w:val="32"/>
          <w:lang w:val="en-US" w:eastAsia="zh-CN"/>
        </w:rPr>
        <w:t>7.15</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减少1.07</w:t>
      </w:r>
      <w:bookmarkStart w:id="1" w:name="_GoBack"/>
      <w:bookmarkEnd w:id="1"/>
      <w:r>
        <w:rPr>
          <w:rFonts w:hint="eastAsia" w:ascii="仿宋" w:hAnsi="仿宋" w:eastAsia="仿宋"/>
          <w:color w:val="000000"/>
          <w:sz w:val="32"/>
          <w:szCs w:val="32"/>
        </w:rPr>
        <w:t>%。主要原因是</w:t>
      </w:r>
      <w:r>
        <w:rPr>
          <w:rFonts w:hint="eastAsia" w:ascii="仿宋" w:hAnsi="仿宋" w:eastAsia="仿宋"/>
          <w:color w:val="000000"/>
          <w:sz w:val="32"/>
          <w:szCs w:val="32"/>
          <w:lang w:val="en-US" w:eastAsia="zh-CN"/>
        </w:rPr>
        <w:t>特高项目资金减少</w:t>
      </w:r>
      <w:r>
        <w:rPr>
          <w:rFonts w:hint="eastAsia" w:ascii="仿宋" w:hAnsi="仿宋" w:eastAsia="仿宋"/>
          <w:color w:val="000000"/>
          <w:sz w:val="32"/>
          <w:szCs w:val="32"/>
        </w:rPr>
        <w:t>。</w:t>
      </w:r>
    </w:p>
    <w:p w14:paraId="6766856D">
      <w:pPr>
        <w:adjustRightInd w:val="0"/>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三、主要支出情况</w:t>
      </w:r>
    </w:p>
    <w:p w14:paraId="4C5E0897">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（一）基本支出主要包括在职、离退休人员支出、个人和家庭补助支出、公用支出。</w:t>
      </w:r>
    </w:p>
    <w:p w14:paraId="5D1ED74B">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（二）项目支出主要包括工程师项目</w:t>
      </w:r>
      <w:r>
        <w:rPr>
          <w:rFonts w:ascii="仿宋" w:hAnsi="仿宋" w:eastAsia="仿宋"/>
          <w:color w:val="000000"/>
          <w:sz w:val="32"/>
          <w:szCs w:val="32"/>
        </w:rPr>
        <w:t>、特高项目、教学材料费、保洁经费、综合维修定额、运行管理经费、助学金</w:t>
      </w:r>
      <w:r>
        <w:rPr>
          <w:rFonts w:hint="eastAsia" w:ascii="仿宋" w:hAnsi="仿宋" w:eastAsia="仿宋"/>
          <w:color w:val="000000"/>
          <w:sz w:val="32"/>
          <w:szCs w:val="32"/>
        </w:rPr>
        <w:t>等。</w:t>
      </w:r>
    </w:p>
    <w:p w14:paraId="6A20D824">
      <w:pPr>
        <w:tabs>
          <w:tab w:val="left" w:pos="1680"/>
        </w:tabs>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四、部门“三公”经费财政拨款预算说明</w:t>
      </w:r>
    </w:p>
    <w:p w14:paraId="0910DCD6">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（一）“三公经费”的单位范围</w:t>
      </w:r>
    </w:p>
    <w:p w14:paraId="66F4A59A">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ascii="仿宋" w:hAnsi="仿宋" w:eastAsia="仿宋"/>
          <w:color w:val="000000"/>
          <w:sz w:val="32"/>
          <w:szCs w:val="32"/>
        </w:rPr>
        <w:t>本单位。</w:t>
      </w:r>
    </w:p>
    <w:p w14:paraId="5281F70F">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（二）“三公经费”财政拨款情况说明</w:t>
      </w:r>
      <w:bookmarkStart w:id="0" w:name="biaoti"/>
    </w:p>
    <w:p w14:paraId="5EEFECCA">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本单位公用经费预算按照北京市财政局和</w:t>
      </w:r>
      <w:r>
        <w:rPr>
          <w:rFonts w:ascii="仿宋" w:hAnsi="仿宋" w:eastAsia="仿宋"/>
          <w:color w:val="000000"/>
          <w:sz w:val="32"/>
          <w:szCs w:val="32"/>
        </w:rPr>
        <w:t>北京市教育委员会</w:t>
      </w:r>
      <w:r>
        <w:rPr>
          <w:rFonts w:hint="eastAsia" w:ascii="仿宋" w:hAnsi="仿宋" w:eastAsia="仿宋"/>
          <w:color w:val="000000"/>
          <w:sz w:val="32"/>
          <w:szCs w:val="32"/>
        </w:rPr>
        <w:t>《</w:t>
      </w:r>
      <w:r>
        <w:rPr>
          <w:rFonts w:ascii="仿宋" w:hAnsi="仿宋" w:eastAsia="仿宋"/>
          <w:color w:val="000000"/>
          <w:sz w:val="32"/>
          <w:szCs w:val="32"/>
        </w:rPr>
        <w:t>关于调整本市基础教育公用经费定额标准的通知</w:t>
      </w:r>
      <w:bookmarkEnd w:id="0"/>
      <w:r>
        <w:rPr>
          <w:rFonts w:hint="eastAsia" w:ascii="仿宋" w:hAnsi="仿宋" w:eastAsia="仿宋"/>
          <w:color w:val="000000"/>
          <w:sz w:val="32"/>
          <w:szCs w:val="32"/>
        </w:rPr>
        <w:t>》的规定执行。2025年部门预算“三公”经费一般公共预算</w:t>
      </w:r>
      <w:r>
        <w:rPr>
          <w:rFonts w:hint="eastAsia" w:ascii="仿宋" w:hAnsi="仿宋" w:eastAsia="仿宋"/>
          <w:color w:val="000000"/>
          <w:sz w:val="32"/>
          <w:szCs w:val="32"/>
          <w:lang w:val="en-US" w:eastAsia="zh-CN"/>
        </w:rPr>
        <w:t>1.8</w:t>
      </w:r>
      <w:r>
        <w:rPr>
          <w:rFonts w:hint="eastAsia" w:ascii="仿宋" w:hAnsi="仿宋" w:eastAsia="仿宋"/>
          <w:color w:val="000000"/>
          <w:sz w:val="32"/>
          <w:szCs w:val="32"/>
        </w:rPr>
        <w:t>万元，较2024年年初预算</w:t>
      </w:r>
      <w:r>
        <w:rPr>
          <w:rFonts w:hint="eastAsia" w:ascii="仿宋" w:hAnsi="仿宋" w:eastAsia="仿宋"/>
          <w:color w:val="000000"/>
          <w:sz w:val="32"/>
          <w:szCs w:val="32"/>
          <w:lang w:val="en-US" w:eastAsia="zh-CN"/>
        </w:rPr>
        <w:t>2.7</w:t>
      </w:r>
      <w:r>
        <w:rPr>
          <w:rFonts w:hint="eastAsia" w:ascii="仿宋" w:hAnsi="仿宋" w:eastAsia="仿宋"/>
          <w:color w:val="000000"/>
          <w:sz w:val="32"/>
          <w:szCs w:val="32"/>
        </w:rPr>
        <w:t>万元减少</w:t>
      </w:r>
      <w:r>
        <w:rPr>
          <w:rFonts w:hint="eastAsia" w:ascii="仿宋" w:hAnsi="仿宋" w:eastAsia="仿宋"/>
          <w:color w:val="000000"/>
          <w:sz w:val="32"/>
          <w:szCs w:val="32"/>
          <w:lang w:val="en-US" w:eastAsia="zh-CN"/>
        </w:rPr>
        <w:t>0.9</w:t>
      </w:r>
      <w:r>
        <w:rPr>
          <w:rFonts w:hint="eastAsia" w:ascii="仿宋" w:hAnsi="仿宋" w:eastAsia="仿宋"/>
          <w:color w:val="000000"/>
          <w:sz w:val="32"/>
          <w:szCs w:val="32"/>
        </w:rPr>
        <w:t>万元，主要原因是结合财政过紧日子措施相关要求，压减公务用车运行及维护费。</w:t>
      </w:r>
    </w:p>
    <w:p w14:paraId="355BE244">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1.因公出国（境）费：2025年</w:t>
      </w:r>
      <w:r>
        <w:rPr>
          <w:rFonts w:hint="eastAsia" w:ascii="仿宋" w:hAnsi="仿宋" w:eastAsia="仿宋"/>
          <w:sz w:val="32"/>
          <w:szCs w:val="32"/>
        </w:rPr>
        <w:t>一般公共预算</w:t>
      </w:r>
      <w:r>
        <w:rPr>
          <w:rFonts w:hint="eastAsia" w:ascii="仿宋" w:hAnsi="仿宋" w:eastAsia="仿宋"/>
          <w:color w:val="000000"/>
          <w:sz w:val="32"/>
          <w:szCs w:val="32"/>
        </w:rPr>
        <w:t>0万元，与2024年一致。</w:t>
      </w:r>
    </w:p>
    <w:p w14:paraId="21041F39">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2.公务接待费：2025年</w:t>
      </w:r>
      <w:r>
        <w:rPr>
          <w:rFonts w:hint="eastAsia" w:ascii="仿宋" w:hAnsi="仿宋" w:eastAsia="仿宋"/>
          <w:sz w:val="32"/>
          <w:szCs w:val="32"/>
        </w:rPr>
        <w:t>一般公共预算</w:t>
      </w:r>
      <w:r>
        <w:rPr>
          <w:rFonts w:hint="eastAsia" w:ascii="仿宋" w:hAnsi="仿宋" w:eastAsia="仿宋"/>
          <w:color w:val="000000"/>
          <w:sz w:val="32"/>
          <w:szCs w:val="32"/>
        </w:rPr>
        <w:t>0万元，与2024年一致。</w:t>
      </w:r>
    </w:p>
    <w:p w14:paraId="051ED13B">
      <w:pPr>
        <w:tabs>
          <w:tab w:val="left" w:pos="1680"/>
        </w:tabs>
        <w:snapToGrid w:val="0"/>
        <w:spacing w:before="100" w:beforeAutospacing="1" w:after="100" w:afterAutospacing="1" w:line="560" w:lineRule="exact"/>
        <w:ind w:firstLine="640" w:firstLineChars="200"/>
        <w:contextualSpacing/>
        <w:rPr>
          <w:rFonts w:ascii="仿宋" w:hAnsi="仿宋" w:eastAsia="仿宋"/>
          <w:sz w:val="32"/>
          <w:szCs w:val="32"/>
        </w:rPr>
      </w:pPr>
      <w:r>
        <w:rPr>
          <w:rFonts w:hint="eastAsia" w:ascii="仿宋" w:hAnsi="仿宋" w:eastAsia="仿宋"/>
          <w:color w:val="000000"/>
          <w:sz w:val="32"/>
          <w:szCs w:val="32"/>
        </w:rPr>
        <w:t>3.公务用车购置及运行维护费：</w:t>
      </w:r>
      <w:r>
        <w:rPr>
          <w:rFonts w:hint="eastAsia" w:ascii="仿宋" w:hAnsi="仿宋" w:eastAsia="仿宋"/>
          <w:sz w:val="32"/>
          <w:szCs w:val="32"/>
        </w:rPr>
        <w:t>2025年公务用车一般公共预算数量为</w:t>
      </w:r>
      <w:r>
        <w:rPr>
          <w:rFonts w:hint="eastAsia" w:ascii="仿宋" w:hAnsi="仿宋" w:eastAsia="仿宋"/>
          <w:color w:val="000000"/>
          <w:sz w:val="32"/>
          <w:szCs w:val="32"/>
          <w:lang w:val="en-US" w:eastAsia="zh-CN"/>
        </w:rPr>
        <w:t>1</w:t>
      </w:r>
      <w:r>
        <w:rPr>
          <w:rFonts w:hint="eastAsia" w:ascii="仿宋" w:hAnsi="仿宋" w:eastAsia="仿宋"/>
          <w:sz w:val="32"/>
          <w:szCs w:val="32"/>
        </w:rPr>
        <w:t>辆，与2024年一致。2025年公务用车购置及运行维护费一般公共预算</w:t>
      </w:r>
      <w:r>
        <w:rPr>
          <w:rFonts w:hint="eastAsia" w:ascii="仿宋" w:hAnsi="仿宋" w:eastAsia="仿宋"/>
          <w:color w:val="000000"/>
          <w:sz w:val="32"/>
          <w:szCs w:val="32"/>
          <w:lang w:val="en-US" w:eastAsia="zh-CN"/>
        </w:rPr>
        <w:t>1.8</w:t>
      </w:r>
      <w:r>
        <w:rPr>
          <w:rFonts w:hint="eastAsia" w:ascii="仿宋" w:hAnsi="仿宋" w:eastAsia="仿宋"/>
          <w:color w:val="000000"/>
          <w:sz w:val="32"/>
          <w:szCs w:val="32"/>
        </w:rPr>
        <w:t>万</w:t>
      </w:r>
      <w:r>
        <w:rPr>
          <w:rFonts w:hint="eastAsia" w:ascii="仿宋" w:hAnsi="仿宋" w:eastAsia="仿宋"/>
          <w:sz w:val="32"/>
          <w:szCs w:val="32"/>
        </w:rPr>
        <w:t>元，与2024年公务用车购置及运行维护费一般公共预算</w:t>
      </w:r>
      <w:r>
        <w:rPr>
          <w:rFonts w:hint="eastAsia" w:ascii="仿宋" w:hAnsi="仿宋" w:eastAsia="仿宋"/>
          <w:sz w:val="32"/>
          <w:szCs w:val="32"/>
          <w:lang w:val="en-US" w:eastAsia="zh-CN"/>
        </w:rPr>
        <w:t>一致</w:t>
      </w:r>
      <w:r>
        <w:rPr>
          <w:rFonts w:hint="eastAsia" w:ascii="仿宋" w:hAnsi="仿宋" w:eastAsia="仿宋"/>
          <w:sz w:val="32"/>
          <w:szCs w:val="32"/>
        </w:rPr>
        <w:t>，其中公务用车购置费0</w:t>
      </w:r>
      <w:r>
        <w:rPr>
          <w:rFonts w:hint="eastAsia" w:ascii="仿宋" w:hAnsi="仿宋" w:eastAsia="仿宋"/>
          <w:color w:val="000000"/>
          <w:sz w:val="32"/>
          <w:szCs w:val="32"/>
        </w:rPr>
        <w:t>万</w:t>
      </w:r>
      <w:r>
        <w:rPr>
          <w:rFonts w:hint="eastAsia" w:ascii="仿宋" w:hAnsi="仿宋" w:eastAsia="仿宋"/>
          <w:sz w:val="32"/>
          <w:szCs w:val="32"/>
        </w:rPr>
        <w:t>元，与2024年公务用车购置费一致。2025年公务用车运行维护费</w:t>
      </w:r>
      <w:r>
        <w:rPr>
          <w:rFonts w:hint="eastAsia" w:ascii="仿宋" w:hAnsi="仿宋" w:eastAsia="仿宋"/>
          <w:color w:val="000000"/>
          <w:sz w:val="32"/>
          <w:szCs w:val="32"/>
          <w:lang w:val="en-US" w:eastAsia="zh-CN"/>
        </w:rPr>
        <w:t>1.8</w:t>
      </w:r>
      <w:r>
        <w:rPr>
          <w:rFonts w:hint="eastAsia" w:ascii="仿宋" w:hAnsi="仿宋" w:eastAsia="仿宋"/>
          <w:color w:val="000000"/>
          <w:sz w:val="32"/>
          <w:szCs w:val="32"/>
        </w:rPr>
        <w:t>万</w:t>
      </w:r>
      <w:r>
        <w:rPr>
          <w:rFonts w:hint="eastAsia" w:ascii="仿宋" w:hAnsi="仿宋" w:eastAsia="仿宋"/>
          <w:sz w:val="32"/>
          <w:szCs w:val="32"/>
        </w:rPr>
        <w:t>元，较2024年公务用车运行维护费</w:t>
      </w:r>
      <w:r>
        <w:rPr>
          <w:rFonts w:hint="eastAsia" w:ascii="仿宋" w:hAnsi="仿宋" w:eastAsia="仿宋"/>
          <w:color w:val="000000"/>
          <w:sz w:val="32"/>
          <w:szCs w:val="32"/>
        </w:rPr>
        <w:t>减少</w:t>
      </w:r>
      <w:r>
        <w:rPr>
          <w:rFonts w:hint="eastAsia" w:ascii="仿宋" w:hAnsi="仿宋" w:eastAsia="仿宋"/>
          <w:color w:val="000000"/>
          <w:sz w:val="32"/>
          <w:szCs w:val="32"/>
          <w:lang w:val="en-US" w:eastAsia="zh-CN"/>
        </w:rPr>
        <w:t>0.9</w:t>
      </w:r>
      <w:r>
        <w:rPr>
          <w:rFonts w:hint="eastAsia" w:ascii="仿宋" w:hAnsi="仿宋" w:eastAsia="仿宋"/>
          <w:color w:val="000000"/>
          <w:sz w:val="32"/>
          <w:szCs w:val="32"/>
        </w:rPr>
        <w:t>万元，</w:t>
      </w:r>
      <w:r>
        <w:rPr>
          <w:rFonts w:ascii="仿宋" w:hAnsi="仿宋" w:eastAsia="仿宋"/>
          <w:color w:val="000000"/>
          <w:sz w:val="32"/>
          <w:szCs w:val="32"/>
        </w:rPr>
        <w:t>主要原因是</w:t>
      </w:r>
      <w:r>
        <w:rPr>
          <w:rFonts w:hint="eastAsia" w:ascii="仿宋" w:hAnsi="仿宋" w:eastAsia="仿宋"/>
          <w:color w:val="000000"/>
          <w:sz w:val="32"/>
          <w:szCs w:val="32"/>
        </w:rPr>
        <w:t>结合财政过紧日子措施相关要求，压减公务用车运行及维护费</w:t>
      </w:r>
      <w:r>
        <w:rPr>
          <w:rFonts w:hint="eastAsia" w:ascii="仿宋" w:hAnsi="仿宋" w:eastAsia="仿宋"/>
          <w:sz w:val="32"/>
          <w:szCs w:val="32"/>
        </w:rPr>
        <w:t>。</w:t>
      </w:r>
    </w:p>
    <w:p w14:paraId="363D7EC6">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ascii="仿宋" w:hAnsi="仿宋" w:eastAsia="仿宋"/>
          <w:color w:val="000000"/>
          <w:sz w:val="32"/>
          <w:szCs w:val="32"/>
        </w:rPr>
        <w:t>五、其他情况说明</w:t>
      </w:r>
    </w:p>
    <w:p w14:paraId="70354BEA">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（一）机构运行经费</w:t>
      </w:r>
      <w:r>
        <w:rPr>
          <w:rFonts w:ascii="仿宋" w:hAnsi="仿宋" w:eastAsia="仿宋"/>
          <w:color w:val="000000"/>
          <w:sz w:val="32"/>
          <w:szCs w:val="32"/>
        </w:rPr>
        <w:t>说明</w:t>
      </w:r>
    </w:p>
    <w:p w14:paraId="47AE55FB">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本单位无机关运行经费（教委所属各单位为事业单位）。</w:t>
      </w:r>
    </w:p>
    <w:p w14:paraId="06254F56">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（二）政府</w:t>
      </w:r>
      <w:r>
        <w:rPr>
          <w:rFonts w:ascii="仿宋" w:hAnsi="仿宋" w:eastAsia="仿宋"/>
          <w:color w:val="000000"/>
          <w:sz w:val="32"/>
          <w:szCs w:val="32"/>
        </w:rPr>
        <w:t>采购预算说明</w:t>
      </w:r>
    </w:p>
    <w:p w14:paraId="60613EDA">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2025年涉及政府采购项目预算资金</w:t>
      </w:r>
      <w:r>
        <w:rPr>
          <w:rFonts w:hint="eastAsia" w:ascii="仿宋" w:hAnsi="仿宋" w:eastAsia="仿宋"/>
          <w:color w:val="000000"/>
          <w:sz w:val="32"/>
          <w:szCs w:val="32"/>
          <w:lang w:val="en-US" w:eastAsia="zh-CN"/>
        </w:rPr>
        <w:t>134.78</w:t>
      </w:r>
      <w:r>
        <w:rPr>
          <w:rFonts w:hint="eastAsia" w:ascii="仿宋" w:hAnsi="仿宋" w:eastAsia="仿宋"/>
          <w:color w:val="000000"/>
          <w:sz w:val="32"/>
          <w:szCs w:val="32"/>
        </w:rPr>
        <w:t>万元。</w:t>
      </w:r>
    </w:p>
    <w:p w14:paraId="0DB51C45">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（三）政府购买服务</w:t>
      </w:r>
      <w:r>
        <w:rPr>
          <w:rFonts w:ascii="仿宋" w:hAnsi="仿宋" w:eastAsia="仿宋"/>
          <w:color w:val="000000"/>
          <w:sz w:val="32"/>
          <w:szCs w:val="32"/>
        </w:rPr>
        <w:t>预算说明</w:t>
      </w:r>
    </w:p>
    <w:p w14:paraId="780A4C31">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本单位无政府购买服务</w:t>
      </w:r>
      <w:r>
        <w:rPr>
          <w:rFonts w:ascii="仿宋" w:hAnsi="仿宋" w:eastAsia="仿宋"/>
          <w:color w:val="000000"/>
          <w:sz w:val="32"/>
          <w:szCs w:val="32"/>
        </w:rPr>
        <w:t>情况</w:t>
      </w:r>
      <w:r>
        <w:rPr>
          <w:rFonts w:hint="eastAsia" w:ascii="仿宋" w:hAnsi="仿宋" w:eastAsia="仿宋"/>
          <w:color w:val="000000"/>
          <w:sz w:val="32"/>
          <w:szCs w:val="32"/>
        </w:rPr>
        <w:t>（教委所属各单位为事业单位）。</w:t>
      </w:r>
    </w:p>
    <w:p w14:paraId="3E19FECB">
      <w:pPr>
        <w:spacing w:line="560" w:lineRule="exact"/>
        <w:ind w:firstLine="645"/>
        <w:rPr>
          <w:rFonts w:ascii="仿宋" w:hAnsi="仿宋" w:eastAsia="仿宋"/>
          <w:color w:val="000000"/>
          <w:sz w:val="32"/>
          <w:szCs w:val="32"/>
        </w:rPr>
      </w:pPr>
      <w:r>
        <w:rPr>
          <w:rFonts w:hint="eastAsia" w:ascii="仿宋" w:hAnsi="仿宋" w:eastAsia="仿宋"/>
          <w:color w:val="000000"/>
          <w:sz w:val="32"/>
          <w:szCs w:val="32"/>
        </w:rPr>
        <w:t>（四）</w:t>
      </w:r>
      <w:r>
        <w:rPr>
          <w:rFonts w:ascii="仿宋" w:hAnsi="仿宋" w:eastAsia="仿宋"/>
          <w:color w:val="000000"/>
          <w:sz w:val="32"/>
          <w:szCs w:val="32"/>
        </w:rPr>
        <w:t>绩效目标情况</w:t>
      </w:r>
      <w:r>
        <w:rPr>
          <w:rFonts w:hint="eastAsia" w:ascii="仿宋" w:hAnsi="仿宋" w:eastAsia="仿宋"/>
          <w:color w:val="000000"/>
          <w:sz w:val="32"/>
          <w:szCs w:val="32"/>
        </w:rPr>
        <w:t>及绩效评价结果</w:t>
      </w:r>
      <w:r>
        <w:rPr>
          <w:rFonts w:ascii="仿宋" w:hAnsi="仿宋" w:eastAsia="仿宋"/>
          <w:color w:val="000000"/>
          <w:sz w:val="32"/>
          <w:szCs w:val="32"/>
        </w:rPr>
        <w:t>说明</w:t>
      </w:r>
    </w:p>
    <w:p w14:paraId="0650897E">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highlight w:val="yellow"/>
        </w:rPr>
      </w:pPr>
      <w:r>
        <w:rPr>
          <w:rFonts w:hint="eastAsia" w:ascii="仿宋" w:hAnsi="仿宋" w:eastAsia="仿宋"/>
          <w:color w:val="000000"/>
          <w:sz w:val="32"/>
          <w:szCs w:val="32"/>
        </w:rPr>
        <w:t>2025年预算填报项目申报表的项目</w:t>
      </w:r>
      <w:r>
        <w:rPr>
          <w:rFonts w:hint="eastAsia" w:ascii="仿宋" w:hAnsi="仿宋" w:eastAsia="仿宋"/>
          <w:color w:val="000000"/>
          <w:sz w:val="32"/>
          <w:szCs w:val="32"/>
          <w:lang w:val="en-US" w:eastAsia="zh-CN"/>
        </w:rPr>
        <w:t>21</w:t>
      </w:r>
      <w:r>
        <w:rPr>
          <w:rFonts w:hint="eastAsia" w:ascii="仿宋" w:hAnsi="仿宋" w:eastAsia="仿宋"/>
          <w:color w:val="000000"/>
          <w:sz w:val="32"/>
          <w:szCs w:val="32"/>
        </w:rPr>
        <w:t>项，占总项目数额的</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%以上，100万元以上项目共计</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个，涉及金额</w:t>
      </w:r>
      <w:r>
        <w:rPr>
          <w:rFonts w:hint="eastAsia" w:ascii="仿宋" w:hAnsi="仿宋" w:eastAsia="仿宋"/>
          <w:color w:val="000000"/>
          <w:sz w:val="32"/>
          <w:szCs w:val="32"/>
          <w:lang w:val="en-US" w:eastAsia="zh-CN"/>
        </w:rPr>
        <w:t>117</w:t>
      </w:r>
      <w:r>
        <w:rPr>
          <w:rFonts w:hint="eastAsia" w:ascii="仿宋" w:hAnsi="仿宋" w:eastAsia="仿宋"/>
          <w:color w:val="000000"/>
          <w:sz w:val="32"/>
          <w:szCs w:val="32"/>
        </w:rPr>
        <w:t>万元。</w:t>
      </w:r>
    </w:p>
    <w:p w14:paraId="5AB74EC9">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（五）国有</w:t>
      </w:r>
      <w:r>
        <w:rPr>
          <w:rFonts w:ascii="仿宋" w:hAnsi="仿宋" w:eastAsia="仿宋"/>
          <w:color w:val="000000"/>
          <w:sz w:val="32"/>
          <w:szCs w:val="32"/>
        </w:rPr>
        <w:t>资本经营预算财政拨款</w:t>
      </w:r>
      <w:r>
        <w:rPr>
          <w:rFonts w:hint="eastAsia" w:ascii="仿宋" w:hAnsi="仿宋" w:eastAsia="仿宋"/>
          <w:color w:val="000000"/>
          <w:sz w:val="32"/>
          <w:szCs w:val="32"/>
        </w:rPr>
        <w:t>情况</w:t>
      </w:r>
      <w:r>
        <w:rPr>
          <w:rFonts w:ascii="仿宋" w:hAnsi="仿宋" w:eastAsia="仿宋"/>
          <w:color w:val="000000"/>
          <w:sz w:val="32"/>
          <w:szCs w:val="32"/>
        </w:rPr>
        <w:t>说明</w:t>
      </w:r>
    </w:p>
    <w:p w14:paraId="45564EB5">
      <w:pPr>
        <w:spacing w:line="560" w:lineRule="exact"/>
        <w:ind w:firstLine="640" w:firstLineChars="200"/>
        <w:rPr>
          <w:rFonts w:ascii="仿宋" w:hAnsi="仿宋" w:eastAsia="仿宋"/>
          <w:color w:val="000000"/>
          <w:sz w:val="32"/>
          <w:szCs w:val="32"/>
        </w:rPr>
      </w:pPr>
      <w:r>
        <w:rPr>
          <w:rFonts w:ascii="仿宋" w:hAnsi="仿宋" w:eastAsia="仿宋"/>
          <w:color w:val="000000"/>
          <w:sz w:val="32"/>
          <w:szCs w:val="32"/>
        </w:rPr>
        <w:t>本</w:t>
      </w:r>
      <w:r>
        <w:rPr>
          <w:rFonts w:hint="eastAsia" w:ascii="仿宋" w:hAnsi="仿宋" w:eastAsia="仿宋"/>
          <w:color w:val="000000"/>
          <w:sz w:val="32"/>
          <w:szCs w:val="32"/>
        </w:rPr>
        <w:t>单位</w:t>
      </w:r>
      <w:r>
        <w:rPr>
          <w:rFonts w:ascii="仿宋" w:hAnsi="仿宋" w:eastAsia="仿宋"/>
          <w:color w:val="000000"/>
          <w:sz w:val="32"/>
          <w:szCs w:val="32"/>
        </w:rPr>
        <w:t>无国有资本经营预算财政拨款安排的预算。</w:t>
      </w:r>
    </w:p>
    <w:p w14:paraId="1B165FDB">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（六）国有资产</w:t>
      </w:r>
      <w:r>
        <w:rPr>
          <w:rFonts w:ascii="仿宋" w:hAnsi="仿宋" w:eastAsia="仿宋"/>
          <w:color w:val="000000"/>
          <w:sz w:val="32"/>
          <w:szCs w:val="32"/>
        </w:rPr>
        <w:t>占用情况说明</w:t>
      </w:r>
    </w:p>
    <w:p w14:paraId="44680FD4">
      <w:pPr>
        <w:spacing w:line="560" w:lineRule="exact"/>
        <w:ind w:firstLine="640" w:firstLineChars="200"/>
        <w:rPr>
          <w:rFonts w:ascii="仿宋" w:hAnsi="仿宋" w:eastAsia="仿宋"/>
          <w:color w:val="000000"/>
          <w:sz w:val="32"/>
          <w:szCs w:val="32"/>
        </w:rPr>
      </w:pPr>
      <w:r>
        <w:rPr>
          <w:rFonts w:ascii="仿宋" w:hAnsi="仿宋" w:eastAsia="仿宋"/>
          <w:color w:val="000000"/>
          <w:sz w:val="32"/>
          <w:szCs w:val="32"/>
        </w:rPr>
        <w:t>截止</w:t>
      </w:r>
      <w:r>
        <w:rPr>
          <w:rFonts w:hint="eastAsia" w:ascii="仿宋" w:hAnsi="仿宋" w:eastAsia="仿宋"/>
          <w:color w:val="000000"/>
          <w:sz w:val="32"/>
          <w:szCs w:val="32"/>
        </w:rPr>
        <w:t>2024年</w:t>
      </w:r>
      <w:r>
        <w:rPr>
          <w:rFonts w:ascii="仿宋" w:hAnsi="仿宋" w:eastAsia="仿宋"/>
          <w:color w:val="000000"/>
          <w:sz w:val="32"/>
          <w:szCs w:val="32"/>
        </w:rPr>
        <w:t>底，</w:t>
      </w:r>
      <w:r>
        <w:rPr>
          <w:rFonts w:hint="eastAsia" w:ascii="仿宋" w:hAnsi="仿宋" w:eastAsia="仿宋"/>
          <w:color w:val="000000"/>
          <w:sz w:val="32"/>
          <w:szCs w:val="32"/>
        </w:rPr>
        <w:t>本单位</w:t>
      </w:r>
      <w:r>
        <w:rPr>
          <w:rFonts w:ascii="仿宋" w:hAnsi="仿宋" w:eastAsia="仿宋"/>
          <w:color w:val="000000"/>
          <w:sz w:val="32"/>
          <w:szCs w:val="32"/>
        </w:rPr>
        <w:t>固定资产总额</w:t>
      </w:r>
      <w:r>
        <w:rPr>
          <w:rFonts w:hint="eastAsia" w:ascii="仿宋" w:hAnsi="仿宋" w:eastAsia="仿宋"/>
          <w:color w:val="000000"/>
          <w:sz w:val="32"/>
          <w:szCs w:val="32"/>
          <w:lang w:val="en-US" w:eastAsia="zh-CN"/>
        </w:rPr>
        <w:t>6479.06</w:t>
      </w:r>
      <w:r>
        <w:rPr>
          <w:rFonts w:hint="eastAsia" w:ascii="仿宋" w:hAnsi="仿宋" w:eastAsia="仿宋"/>
          <w:color w:val="000000"/>
          <w:sz w:val="32"/>
          <w:szCs w:val="32"/>
        </w:rPr>
        <w:t>万元</w:t>
      </w:r>
      <w:r>
        <w:rPr>
          <w:rFonts w:ascii="仿宋" w:hAnsi="仿宋" w:eastAsia="仿宋"/>
          <w:color w:val="000000"/>
          <w:sz w:val="32"/>
          <w:szCs w:val="32"/>
        </w:rPr>
        <w:t>，其中：</w:t>
      </w:r>
      <w:r>
        <w:rPr>
          <w:rFonts w:hint="eastAsia" w:ascii="仿宋" w:hAnsi="仿宋" w:eastAsia="仿宋"/>
          <w:color w:val="000000"/>
          <w:sz w:val="32"/>
          <w:szCs w:val="32"/>
        </w:rPr>
        <w:t>车辆</w:t>
      </w:r>
      <w:r>
        <w:rPr>
          <w:rFonts w:ascii="仿宋" w:hAnsi="仿宋" w:eastAsia="仿宋"/>
          <w:color w:val="000000"/>
          <w:sz w:val="32"/>
          <w:szCs w:val="32"/>
        </w:rPr>
        <w:t>1</w:t>
      </w:r>
      <w:r>
        <w:rPr>
          <w:rFonts w:hint="eastAsia" w:ascii="仿宋" w:hAnsi="仿宋" w:eastAsia="仿宋"/>
          <w:color w:val="000000"/>
          <w:sz w:val="32"/>
          <w:szCs w:val="32"/>
        </w:rPr>
        <w:t>台</w:t>
      </w:r>
      <w:r>
        <w:rPr>
          <w:rFonts w:ascii="仿宋" w:hAnsi="仿宋" w:eastAsia="仿宋"/>
          <w:color w:val="000000"/>
          <w:sz w:val="32"/>
          <w:szCs w:val="32"/>
        </w:rPr>
        <w:t>，17</w:t>
      </w:r>
      <w:r>
        <w:rPr>
          <w:rFonts w:hint="eastAsia" w:ascii="仿宋" w:hAnsi="仿宋" w:eastAsia="仿宋"/>
          <w:color w:val="000000"/>
          <w:sz w:val="32"/>
          <w:szCs w:val="32"/>
        </w:rPr>
        <w:t>万元；单位</w:t>
      </w:r>
      <w:r>
        <w:rPr>
          <w:rFonts w:ascii="仿宋" w:hAnsi="仿宋" w:eastAsia="仿宋"/>
          <w:color w:val="000000"/>
          <w:sz w:val="32"/>
          <w:szCs w:val="32"/>
        </w:rPr>
        <w:t>价值100</w:t>
      </w:r>
      <w:r>
        <w:rPr>
          <w:rFonts w:hint="eastAsia" w:ascii="仿宋" w:hAnsi="仿宋" w:eastAsia="仿宋"/>
          <w:color w:val="000000"/>
          <w:sz w:val="32"/>
          <w:szCs w:val="32"/>
        </w:rPr>
        <w:t>万元以上</w:t>
      </w:r>
      <w:r>
        <w:rPr>
          <w:rFonts w:ascii="仿宋" w:hAnsi="仿宋" w:eastAsia="仿宋"/>
          <w:color w:val="000000"/>
          <w:sz w:val="32"/>
          <w:szCs w:val="32"/>
        </w:rPr>
        <w:t>设备1</w:t>
      </w:r>
      <w:r>
        <w:rPr>
          <w:rFonts w:hint="eastAsia" w:ascii="仿宋" w:hAnsi="仿宋" w:eastAsia="仿宋"/>
          <w:color w:val="000000"/>
          <w:sz w:val="32"/>
          <w:szCs w:val="32"/>
        </w:rPr>
        <w:t>台（套）、</w:t>
      </w:r>
      <w:r>
        <w:rPr>
          <w:rFonts w:ascii="仿宋" w:hAnsi="仿宋" w:eastAsia="仿宋"/>
          <w:color w:val="000000"/>
          <w:sz w:val="32"/>
          <w:szCs w:val="32"/>
        </w:rPr>
        <w:t>165.36</w:t>
      </w:r>
      <w:r>
        <w:rPr>
          <w:rFonts w:hint="eastAsia" w:ascii="仿宋" w:hAnsi="仿宋" w:eastAsia="仿宋"/>
          <w:color w:val="000000"/>
          <w:sz w:val="32"/>
          <w:szCs w:val="32"/>
        </w:rPr>
        <w:t>万元。</w:t>
      </w:r>
    </w:p>
    <w:p w14:paraId="51C38592">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六、名称解释</w:t>
      </w:r>
    </w:p>
    <w:p w14:paraId="54E800DD">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6375FB6B">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14:paraId="403B2F9B">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3.政府采购：指各级国家机关、事业单位和团体组织，使用财政性资金采购依法制定的集中目录以内的或者采购限额标准以上的货物、工程和服务的行为。</w:t>
      </w:r>
    </w:p>
    <w:p w14:paraId="399E3130">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4D1DD27">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5.基本支出：指为保障机构正常运转、完成日常工作任务而发生的人员支出和公用支出。</w:t>
      </w:r>
    </w:p>
    <w:p w14:paraId="021DC510">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6.项目支出：指在基本支出之外为完成特定的行政任务或事业发展目标所发生的支出。</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6016686"/>
      <w:docPartObj>
        <w:docPartGallery w:val="autotext"/>
      </w:docPartObj>
    </w:sdtPr>
    <w:sdtContent>
      <w:p w14:paraId="60E7C6F4">
        <w:pPr>
          <w:pStyle w:val="2"/>
          <w:jc w:val="right"/>
        </w:pPr>
        <w:r>
          <w:rPr>
            <w:rFonts w:ascii="仿宋" w:hAnsi="仿宋" w:eastAsia="仿宋"/>
            <w:sz w:val="28"/>
          </w:rPr>
          <w:fldChar w:fldCharType="begin"/>
        </w:r>
        <w:r>
          <w:rPr>
            <w:rFonts w:ascii="仿宋" w:hAnsi="仿宋" w:eastAsia="仿宋"/>
            <w:sz w:val="28"/>
          </w:rPr>
          <w:instrText xml:space="preserve">PAGE   \* MERGEFORMAT</w:instrText>
        </w:r>
        <w:r>
          <w:rPr>
            <w:rFonts w:ascii="仿宋" w:hAnsi="仿宋" w:eastAsia="仿宋"/>
            <w:sz w:val="28"/>
          </w:rPr>
          <w:fldChar w:fldCharType="separate"/>
        </w:r>
        <w:r>
          <w:rPr>
            <w:rFonts w:ascii="仿宋" w:hAnsi="仿宋" w:eastAsia="仿宋"/>
            <w:sz w:val="28"/>
            <w:lang w:val="zh-CN"/>
          </w:rPr>
          <w:t>4</w:t>
        </w:r>
        <w:r>
          <w:rPr>
            <w:rFonts w:ascii="仿宋" w:hAnsi="仿宋" w:eastAsia="仿宋"/>
            <w:sz w:val="28"/>
          </w:rPr>
          <w:fldChar w:fldCharType="end"/>
        </w:r>
      </w:p>
    </w:sdtContent>
  </w:sdt>
  <w:p w14:paraId="36C866B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2YjA5ZWRiYzA0NWNmYzE1Njc5MzliYzA2NzBjMWUifQ=="/>
  </w:docVars>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5A84"/>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42C"/>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1C73"/>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6A4"/>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4C8A"/>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2C"/>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 w:val="2F4445B6"/>
    <w:rsid w:val="603B3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2146</Words>
  <Characters>2417</Characters>
  <Lines>13</Lines>
  <Paragraphs>3</Paragraphs>
  <TotalTime>1</TotalTime>
  <ScaleCrop>false</ScaleCrop>
  <LinksUpToDate>false</LinksUpToDate>
  <CharactersWithSpaces>2418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2022-01-10T07:29:00Z</dcterms:created>
  <dc:creator>Administrator</dc:creator>
  <cp:lastModifiedBy>Administrator</cp:lastModifiedBy>
  <dcterms:modified xsi:type="dcterms:W3CDTF">2025-01-16T01:42:06Z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A7AE45132BE04165AA5C59A69EAA1FE8_12</vt:lpwstr>
  </property>
</Properties>
</file>